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8A" w:rsidRPr="00552F81" w:rsidRDefault="00194FF5" w:rsidP="00552F81">
      <w:pPr>
        <w:jc w:val="center"/>
        <w:rPr>
          <w:b/>
          <w:sz w:val="28"/>
          <w:szCs w:val="28"/>
        </w:rPr>
      </w:pPr>
      <w:r>
        <w:rPr>
          <w:b/>
          <w:sz w:val="28"/>
          <w:szCs w:val="28"/>
        </w:rPr>
        <w:t>Die magische „4“</w:t>
      </w:r>
    </w:p>
    <w:p w:rsidR="00552F81" w:rsidRPr="000E23EB" w:rsidRDefault="00552F81" w:rsidP="005C0D01">
      <w:pPr>
        <w:pStyle w:val="KeinLeerraum"/>
        <w:jc w:val="both"/>
        <w:rPr>
          <w:sz w:val="24"/>
          <w:szCs w:val="24"/>
          <w:lang w:val="de-CH"/>
        </w:rPr>
      </w:pPr>
      <w:r w:rsidRPr="000E23EB">
        <w:rPr>
          <w:sz w:val="24"/>
          <w:szCs w:val="24"/>
          <w:lang w:val="de-CH"/>
        </w:rPr>
        <w:t>Metzingers sch</w:t>
      </w:r>
      <w:r w:rsidR="00B8141F" w:rsidRPr="000E23EB">
        <w:rPr>
          <w:sz w:val="24"/>
          <w:szCs w:val="24"/>
          <w:lang w:val="de-CH"/>
        </w:rPr>
        <w:t>o</w:t>
      </w:r>
      <w:r w:rsidRPr="000E23EB">
        <w:rPr>
          <w:sz w:val="24"/>
          <w:szCs w:val="24"/>
          <w:lang w:val="de-CH"/>
        </w:rPr>
        <w:t xml:space="preserve">n frühe Vorliebe für Mathematik, seine Nähe zu </w:t>
      </w:r>
      <w:r w:rsidR="000E23EB" w:rsidRPr="000E23EB">
        <w:rPr>
          <w:sz w:val="24"/>
          <w:szCs w:val="24"/>
          <w:lang w:val="de-CH"/>
        </w:rPr>
        <w:t xml:space="preserve">wissenschaftlichen, </w:t>
      </w:r>
      <w:proofErr w:type="spellStart"/>
      <w:r w:rsidRPr="000E23EB">
        <w:rPr>
          <w:sz w:val="24"/>
          <w:szCs w:val="24"/>
          <w:lang w:val="de-CH"/>
        </w:rPr>
        <w:t>philosphischen</w:t>
      </w:r>
      <w:proofErr w:type="spellEnd"/>
      <w:r w:rsidRPr="000E23EB">
        <w:rPr>
          <w:sz w:val="24"/>
          <w:szCs w:val="24"/>
          <w:lang w:val="de-CH"/>
        </w:rPr>
        <w:t xml:space="preserve"> und esoterischen Themen im Rahmen der </w:t>
      </w:r>
      <w:proofErr w:type="spellStart"/>
      <w:r w:rsidRPr="000E23EB">
        <w:rPr>
          <w:sz w:val="24"/>
          <w:szCs w:val="24"/>
          <w:lang w:val="de-CH"/>
        </w:rPr>
        <w:t>Groupe</w:t>
      </w:r>
      <w:proofErr w:type="spellEnd"/>
      <w:r w:rsidRPr="000E23EB">
        <w:rPr>
          <w:sz w:val="24"/>
          <w:szCs w:val="24"/>
          <w:lang w:val="de-CH"/>
        </w:rPr>
        <w:t xml:space="preserve"> de </w:t>
      </w:r>
      <w:proofErr w:type="spellStart"/>
      <w:r w:rsidRPr="000E23EB">
        <w:rPr>
          <w:sz w:val="24"/>
          <w:szCs w:val="24"/>
          <w:lang w:val="de-CH"/>
        </w:rPr>
        <w:t>Puteaux</w:t>
      </w:r>
      <w:proofErr w:type="spellEnd"/>
      <w:r w:rsidR="00B8141F" w:rsidRPr="000E23EB">
        <w:rPr>
          <w:sz w:val="24"/>
          <w:szCs w:val="24"/>
          <w:lang w:val="de-CH"/>
        </w:rPr>
        <w:t>,</w:t>
      </w:r>
      <w:r w:rsidRPr="000E23EB">
        <w:rPr>
          <w:sz w:val="24"/>
          <w:szCs w:val="24"/>
          <w:lang w:val="de-CH"/>
        </w:rPr>
        <w:t xml:space="preserve"> bzw. der </w:t>
      </w:r>
      <w:proofErr w:type="spellStart"/>
      <w:r w:rsidRPr="000E23EB">
        <w:rPr>
          <w:sz w:val="24"/>
          <w:szCs w:val="24"/>
          <w:lang w:val="de-CH"/>
        </w:rPr>
        <w:t>Section</w:t>
      </w:r>
      <w:proofErr w:type="spellEnd"/>
      <w:r w:rsidRPr="000E23EB">
        <w:rPr>
          <w:sz w:val="24"/>
          <w:szCs w:val="24"/>
          <w:lang w:val="de-CH"/>
        </w:rPr>
        <w:t xml:space="preserve"> </w:t>
      </w:r>
      <w:proofErr w:type="spellStart"/>
      <w:r w:rsidRPr="000E23EB">
        <w:rPr>
          <w:sz w:val="24"/>
          <w:szCs w:val="24"/>
          <w:lang w:val="de-CH"/>
        </w:rPr>
        <w:t>d’Or</w:t>
      </w:r>
      <w:proofErr w:type="spellEnd"/>
      <w:r w:rsidRPr="000E23EB">
        <w:rPr>
          <w:sz w:val="24"/>
          <w:szCs w:val="24"/>
          <w:lang w:val="de-CH"/>
        </w:rPr>
        <w:t xml:space="preserve">, mit den Mitgliedern verschiedenster Aszendenz geistiger Spekulation wie Marcel Duchamp, Kupka, Delaunay oder </w:t>
      </w:r>
      <w:proofErr w:type="spellStart"/>
      <w:r w:rsidRPr="000E23EB">
        <w:rPr>
          <w:sz w:val="24"/>
          <w:szCs w:val="24"/>
          <w:lang w:val="de-CH"/>
        </w:rPr>
        <w:t>Princet</w:t>
      </w:r>
      <w:proofErr w:type="spellEnd"/>
      <w:r w:rsidRPr="000E23EB">
        <w:rPr>
          <w:sz w:val="24"/>
          <w:szCs w:val="24"/>
          <w:lang w:val="de-CH"/>
        </w:rPr>
        <w:t xml:space="preserve">, stellt sich </w:t>
      </w:r>
      <w:r w:rsidR="000E23EB">
        <w:rPr>
          <w:sz w:val="24"/>
          <w:szCs w:val="24"/>
          <w:lang w:val="de-CH"/>
        </w:rPr>
        <w:t xml:space="preserve">unweigerlich </w:t>
      </w:r>
      <w:r w:rsidRPr="000E23EB">
        <w:rPr>
          <w:sz w:val="24"/>
          <w:szCs w:val="24"/>
          <w:lang w:val="de-CH"/>
        </w:rPr>
        <w:t xml:space="preserve">die Frage, ob über die „natürliche“ Herkunft und ihre Evolution ins Übersinnliche jener </w:t>
      </w:r>
      <w:r w:rsidRPr="002775B4">
        <w:rPr>
          <w:b/>
          <w:sz w:val="24"/>
          <w:szCs w:val="24"/>
          <w:lang w:val="de-CH"/>
        </w:rPr>
        <w:t>„4“</w:t>
      </w:r>
      <w:r w:rsidRPr="000E23EB">
        <w:rPr>
          <w:sz w:val="24"/>
          <w:szCs w:val="24"/>
          <w:lang w:val="de-CH"/>
        </w:rPr>
        <w:t xml:space="preserve"> in zwei Zeichnungen, drei Gemälden</w:t>
      </w:r>
      <w:r w:rsidR="00B8141F" w:rsidRPr="000E23EB">
        <w:rPr>
          <w:sz w:val="24"/>
          <w:szCs w:val="24"/>
          <w:lang w:val="de-CH"/>
        </w:rPr>
        <w:t xml:space="preserve"> unserer </w:t>
      </w:r>
      <w:proofErr w:type="spellStart"/>
      <w:r w:rsidR="00B8141F" w:rsidRPr="000E23EB">
        <w:rPr>
          <w:i/>
          <w:sz w:val="24"/>
          <w:szCs w:val="24"/>
          <w:lang w:val="de-CH"/>
        </w:rPr>
        <w:t>Coureurs</w:t>
      </w:r>
      <w:proofErr w:type="spellEnd"/>
      <w:r w:rsidR="00B8141F" w:rsidRPr="000E23EB">
        <w:rPr>
          <w:i/>
          <w:sz w:val="24"/>
          <w:szCs w:val="24"/>
          <w:lang w:val="de-CH"/>
        </w:rPr>
        <w:t xml:space="preserve"> </w:t>
      </w:r>
      <w:proofErr w:type="spellStart"/>
      <w:r w:rsidR="00B8141F" w:rsidRPr="000E23EB">
        <w:rPr>
          <w:i/>
          <w:sz w:val="24"/>
          <w:szCs w:val="24"/>
          <w:lang w:val="de-CH"/>
        </w:rPr>
        <w:t>cyclistes</w:t>
      </w:r>
      <w:proofErr w:type="spellEnd"/>
      <w:r w:rsidRPr="000E23EB">
        <w:rPr>
          <w:sz w:val="24"/>
          <w:szCs w:val="24"/>
          <w:lang w:val="de-CH"/>
        </w:rPr>
        <w:t xml:space="preserve">, der „IIII“ in </w:t>
      </w:r>
      <w:proofErr w:type="spellStart"/>
      <w:r w:rsidRPr="000E23EB">
        <w:rPr>
          <w:sz w:val="24"/>
          <w:szCs w:val="24"/>
          <w:lang w:val="de-CH"/>
        </w:rPr>
        <w:t>L’Horologe</w:t>
      </w:r>
      <w:proofErr w:type="spellEnd"/>
      <w:r w:rsidRPr="000E23EB">
        <w:rPr>
          <w:sz w:val="24"/>
          <w:szCs w:val="24"/>
          <w:lang w:val="de-CH"/>
        </w:rPr>
        <w:t xml:space="preserve">, </w:t>
      </w:r>
      <w:r w:rsidR="00B91F75" w:rsidRPr="000E23EB">
        <w:rPr>
          <w:sz w:val="24"/>
          <w:szCs w:val="24"/>
          <w:lang w:val="de-CH"/>
        </w:rPr>
        <w:t>einer“ 24“ am</w:t>
      </w:r>
      <w:r w:rsidR="00EA1A28" w:rsidRPr="000E23EB">
        <w:rPr>
          <w:sz w:val="24"/>
          <w:szCs w:val="24"/>
          <w:lang w:val="de-CH"/>
        </w:rPr>
        <w:t xml:space="preserve"> </w:t>
      </w:r>
      <w:r w:rsidR="00B91F75" w:rsidRPr="000E23EB">
        <w:rPr>
          <w:sz w:val="24"/>
          <w:szCs w:val="24"/>
          <w:lang w:val="de-CH"/>
        </w:rPr>
        <w:t xml:space="preserve">Kragen des </w:t>
      </w:r>
      <w:r w:rsidR="00B91F75" w:rsidRPr="000E23EB">
        <w:rPr>
          <w:i/>
          <w:sz w:val="24"/>
          <w:szCs w:val="24"/>
          <w:lang w:val="de-CH"/>
        </w:rPr>
        <w:t>Schachspielenden Soldaten</w:t>
      </w:r>
      <w:r w:rsidR="00B91F75" w:rsidRPr="000E23EB">
        <w:rPr>
          <w:sz w:val="24"/>
          <w:szCs w:val="24"/>
          <w:lang w:val="de-CH"/>
        </w:rPr>
        <w:t xml:space="preserve"> der Sammlung Shapiro von 1915/16, </w:t>
      </w:r>
      <w:r w:rsidRPr="000E23EB">
        <w:rPr>
          <w:sz w:val="24"/>
          <w:szCs w:val="24"/>
          <w:lang w:val="de-CH"/>
        </w:rPr>
        <w:t xml:space="preserve">einer </w:t>
      </w:r>
      <w:r w:rsidR="000B695C" w:rsidRPr="000E23EB">
        <w:rPr>
          <w:sz w:val="24"/>
          <w:szCs w:val="24"/>
          <w:lang w:val="de-CH"/>
        </w:rPr>
        <w:t>Turmuhr-</w:t>
      </w:r>
      <w:r w:rsidRPr="000E23EB">
        <w:rPr>
          <w:sz w:val="24"/>
          <w:szCs w:val="24"/>
          <w:lang w:val="de-CH"/>
        </w:rPr>
        <w:t xml:space="preserve">Zeigerstellung im Gemälde </w:t>
      </w:r>
      <w:proofErr w:type="spellStart"/>
      <w:r w:rsidRPr="000E23EB">
        <w:rPr>
          <w:i/>
          <w:sz w:val="24"/>
          <w:szCs w:val="24"/>
          <w:lang w:val="de-CH"/>
        </w:rPr>
        <w:t>Paysage</w:t>
      </w:r>
      <w:proofErr w:type="spellEnd"/>
      <w:r w:rsidR="000B695C" w:rsidRPr="000E23EB">
        <w:rPr>
          <w:sz w:val="24"/>
          <w:szCs w:val="24"/>
          <w:lang w:val="de-CH"/>
        </w:rPr>
        <w:t xml:space="preserve"> von 1912 (Robbins/Moser Abb.125) </w:t>
      </w:r>
      <w:r w:rsidRPr="000E23EB">
        <w:rPr>
          <w:sz w:val="24"/>
          <w:szCs w:val="24"/>
          <w:lang w:val="de-CH"/>
        </w:rPr>
        <w:t>schliesslich der „4“</w:t>
      </w:r>
      <w:r w:rsidR="000B695C" w:rsidRPr="000E23EB">
        <w:rPr>
          <w:sz w:val="24"/>
          <w:szCs w:val="24"/>
          <w:lang w:val="de-CH"/>
        </w:rPr>
        <w:t xml:space="preserve"> in </w:t>
      </w:r>
      <w:r w:rsidR="000B695C" w:rsidRPr="000E23EB">
        <w:rPr>
          <w:i/>
          <w:sz w:val="24"/>
          <w:szCs w:val="24"/>
          <w:lang w:val="de-CH"/>
        </w:rPr>
        <w:t>La</w:t>
      </w:r>
      <w:r w:rsidR="000B695C" w:rsidRPr="000E23EB">
        <w:rPr>
          <w:sz w:val="24"/>
          <w:szCs w:val="24"/>
          <w:lang w:val="de-CH"/>
        </w:rPr>
        <w:t xml:space="preserve"> </w:t>
      </w:r>
      <w:proofErr w:type="spellStart"/>
      <w:r w:rsidR="000B695C" w:rsidRPr="000E23EB">
        <w:rPr>
          <w:i/>
          <w:sz w:val="24"/>
          <w:szCs w:val="24"/>
          <w:lang w:val="de-CH"/>
        </w:rPr>
        <w:t>Loterie</w:t>
      </w:r>
      <w:proofErr w:type="spellEnd"/>
      <w:r w:rsidR="000B695C" w:rsidRPr="000E23EB">
        <w:rPr>
          <w:i/>
          <w:sz w:val="24"/>
          <w:szCs w:val="24"/>
          <w:lang w:val="de-CH"/>
        </w:rPr>
        <w:t xml:space="preserve"> </w:t>
      </w:r>
      <w:proofErr w:type="spellStart"/>
      <w:r w:rsidR="000B695C" w:rsidRPr="000E23EB">
        <w:rPr>
          <w:i/>
          <w:sz w:val="24"/>
          <w:szCs w:val="24"/>
          <w:lang w:val="de-CH"/>
        </w:rPr>
        <w:t>foraine</w:t>
      </w:r>
      <w:proofErr w:type="spellEnd"/>
      <w:r w:rsidR="000B695C" w:rsidRPr="000E23EB">
        <w:rPr>
          <w:sz w:val="24"/>
          <w:szCs w:val="24"/>
          <w:lang w:val="de-CH"/>
        </w:rPr>
        <w:t xml:space="preserve"> von 1925 (mit 2, 7 und 8) und</w:t>
      </w:r>
      <w:r w:rsidR="00450273">
        <w:rPr>
          <w:sz w:val="24"/>
          <w:szCs w:val="24"/>
          <w:lang w:val="de-CH"/>
        </w:rPr>
        <w:t xml:space="preserve"> besonders prominent</w:t>
      </w:r>
      <w:r w:rsidR="000B695C" w:rsidRPr="000E23EB">
        <w:rPr>
          <w:sz w:val="24"/>
          <w:szCs w:val="24"/>
          <w:lang w:val="de-CH"/>
        </w:rPr>
        <w:t xml:space="preserve"> in </w:t>
      </w:r>
      <w:r w:rsidR="000B695C" w:rsidRPr="000E23EB">
        <w:rPr>
          <w:i/>
          <w:sz w:val="24"/>
          <w:szCs w:val="24"/>
          <w:lang w:val="de-CH"/>
        </w:rPr>
        <w:t xml:space="preserve">La </w:t>
      </w:r>
      <w:proofErr w:type="spellStart"/>
      <w:r w:rsidR="000B695C" w:rsidRPr="000E23EB">
        <w:rPr>
          <w:i/>
          <w:sz w:val="24"/>
          <w:szCs w:val="24"/>
          <w:lang w:val="de-CH"/>
        </w:rPr>
        <w:t>Jongleuse</w:t>
      </w:r>
      <w:proofErr w:type="spellEnd"/>
      <w:r w:rsidR="000B695C" w:rsidRPr="000E23EB">
        <w:rPr>
          <w:sz w:val="24"/>
          <w:szCs w:val="24"/>
          <w:lang w:val="de-CH"/>
        </w:rPr>
        <w:t xml:space="preserve"> 1926</w:t>
      </w:r>
      <w:r w:rsidR="00B8141F" w:rsidRPr="000E23EB">
        <w:rPr>
          <w:sz w:val="24"/>
          <w:szCs w:val="24"/>
          <w:lang w:val="de-CH"/>
        </w:rPr>
        <w:t xml:space="preserve">, die Punkte auf Dominos und Würfeln (etwa in </w:t>
      </w:r>
      <w:r w:rsidR="00B8141F" w:rsidRPr="000E23EB">
        <w:rPr>
          <w:i/>
          <w:sz w:val="24"/>
          <w:szCs w:val="24"/>
          <w:lang w:val="de-CH"/>
        </w:rPr>
        <w:t xml:space="preserve">Femme </w:t>
      </w:r>
      <w:proofErr w:type="spellStart"/>
      <w:r w:rsidR="00B8141F" w:rsidRPr="000E23EB">
        <w:rPr>
          <w:i/>
          <w:sz w:val="24"/>
          <w:szCs w:val="24"/>
          <w:lang w:val="de-CH"/>
        </w:rPr>
        <w:t>nue</w:t>
      </w:r>
      <w:proofErr w:type="spellEnd"/>
      <w:r w:rsidR="00B8141F" w:rsidRPr="000E23EB">
        <w:rPr>
          <w:i/>
          <w:sz w:val="24"/>
          <w:szCs w:val="24"/>
          <w:lang w:val="de-CH"/>
        </w:rPr>
        <w:t xml:space="preserve"> </w:t>
      </w:r>
      <w:proofErr w:type="spellStart"/>
      <w:r w:rsidR="00B8141F" w:rsidRPr="000E23EB">
        <w:rPr>
          <w:i/>
          <w:sz w:val="24"/>
          <w:szCs w:val="24"/>
          <w:lang w:val="de-CH"/>
        </w:rPr>
        <w:t>allongée</w:t>
      </w:r>
      <w:proofErr w:type="spellEnd"/>
      <w:r w:rsidR="00B8141F" w:rsidRPr="000E23EB">
        <w:rPr>
          <w:sz w:val="24"/>
          <w:szCs w:val="24"/>
          <w:lang w:val="de-CH"/>
        </w:rPr>
        <w:t xml:space="preserve"> mit vier Citrusfrüchten, vier Buchbänden und zwei Würfelseiten) lediglich eine Marotte oder Gewohnheit darstellte, oder tiefere Bezüge ausdrücken wollte.</w:t>
      </w:r>
    </w:p>
    <w:p w:rsidR="005C0D01" w:rsidRDefault="005C0D01" w:rsidP="0094346A">
      <w:pPr>
        <w:pStyle w:val="KeinLeerraum"/>
        <w:rPr>
          <w:sz w:val="24"/>
          <w:szCs w:val="24"/>
          <w:lang w:val="de-CH"/>
        </w:rPr>
      </w:pPr>
    </w:p>
    <w:p w:rsidR="00EA1A28" w:rsidRDefault="00EA1A28" w:rsidP="005C0D01">
      <w:pPr>
        <w:pStyle w:val="KeinLeerraum"/>
        <w:jc w:val="both"/>
        <w:rPr>
          <w:sz w:val="24"/>
          <w:szCs w:val="24"/>
          <w:lang w:val="de-CH"/>
        </w:rPr>
      </w:pPr>
      <w:r w:rsidRPr="00150EF8">
        <w:rPr>
          <w:sz w:val="24"/>
          <w:szCs w:val="24"/>
          <w:lang w:val="de-CH"/>
        </w:rPr>
        <w:t xml:space="preserve">Die </w:t>
      </w:r>
      <w:r w:rsidR="00150EF8" w:rsidRPr="0072757F">
        <w:rPr>
          <w:b/>
          <w:sz w:val="24"/>
          <w:szCs w:val="24"/>
          <w:lang w:val="de-CH"/>
        </w:rPr>
        <w:t>V</w:t>
      </w:r>
      <w:r w:rsidRPr="0072757F">
        <w:rPr>
          <w:b/>
          <w:sz w:val="24"/>
          <w:szCs w:val="24"/>
          <w:lang w:val="de-CH"/>
        </w:rPr>
        <w:t>ier</w:t>
      </w:r>
      <w:r w:rsidRPr="00150EF8">
        <w:rPr>
          <w:sz w:val="24"/>
          <w:szCs w:val="24"/>
          <w:lang w:val="de-CH"/>
        </w:rPr>
        <w:t xml:space="preserve"> ist die am ausgiebigsten mit Bedeutungsinhalten befrachtete Zahl seit </w:t>
      </w:r>
      <w:r w:rsidR="00150EF8" w:rsidRPr="00150EF8">
        <w:rPr>
          <w:sz w:val="24"/>
          <w:szCs w:val="24"/>
          <w:lang w:val="de-CH"/>
        </w:rPr>
        <w:t xml:space="preserve">der vier </w:t>
      </w:r>
      <w:proofErr w:type="spellStart"/>
      <w:r w:rsidR="00150EF8" w:rsidRPr="00150EF8">
        <w:rPr>
          <w:sz w:val="24"/>
          <w:szCs w:val="24"/>
          <w:lang w:val="de-CH"/>
        </w:rPr>
        <w:t>Elementenlehre</w:t>
      </w:r>
      <w:proofErr w:type="spellEnd"/>
      <w:r w:rsidR="00150EF8" w:rsidRPr="00150EF8">
        <w:rPr>
          <w:sz w:val="24"/>
          <w:szCs w:val="24"/>
          <w:lang w:val="de-CH"/>
        </w:rPr>
        <w:t xml:space="preserve"> des </w:t>
      </w:r>
      <w:proofErr w:type="spellStart"/>
      <w:r w:rsidR="00150EF8" w:rsidRPr="00150EF8">
        <w:rPr>
          <w:sz w:val="24"/>
          <w:szCs w:val="24"/>
          <w:lang w:val="de-CH"/>
        </w:rPr>
        <w:t>Empedokles</w:t>
      </w:r>
      <w:proofErr w:type="spellEnd"/>
      <w:r w:rsidR="00150EF8" w:rsidRPr="00150EF8">
        <w:rPr>
          <w:sz w:val="24"/>
          <w:szCs w:val="24"/>
          <w:lang w:val="de-CH"/>
        </w:rPr>
        <w:t xml:space="preserve">, der </w:t>
      </w:r>
      <w:proofErr w:type="spellStart"/>
      <w:r w:rsidR="00150EF8" w:rsidRPr="00150EF8">
        <w:rPr>
          <w:sz w:val="24"/>
          <w:szCs w:val="24"/>
          <w:lang w:val="de-CH"/>
        </w:rPr>
        <w:t>Zahlemmystik</w:t>
      </w:r>
      <w:proofErr w:type="spellEnd"/>
      <w:r w:rsidR="00150EF8" w:rsidRPr="00150EF8">
        <w:rPr>
          <w:sz w:val="24"/>
          <w:szCs w:val="24"/>
          <w:lang w:val="de-CH"/>
        </w:rPr>
        <w:t xml:space="preserve"> des </w:t>
      </w:r>
      <w:r w:rsidRPr="00150EF8">
        <w:rPr>
          <w:sz w:val="24"/>
          <w:szCs w:val="24"/>
          <w:lang w:val="de-CH"/>
        </w:rPr>
        <w:t xml:space="preserve">Pythagoras, der hebräischen und christlichen Exegetik, der mittelalterlichen Alchemie, </w:t>
      </w:r>
      <w:r w:rsidR="00150EF8">
        <w:rPr>
          <w:sz w:val="24"/>
          <w:szCs w:val="24"/>
          <w:lang w:val="de-CH"/>
        </w:rPr>
        <w:t xml:space="preserve">der </w:t>
      </w:r>
      <w:proofErr w:type="spellStart"/>
      <w:r w:rsidR="00150EF8">
        <w:rPr>
          <w:sz w:val="24"/>
          <w:szCs w:val="24"/>
          <w:lang w:val="de-CH"/>
        </w:rPr>
        <w:t>Allegoristik</w:t>
      </w:r>
      <w:proofErr w:type="spellEnd"/>
      <w:r w:rsidR="00150EF8">
        <w:rPr>
          <w:sz w:val="24"/>
          <w:szCs w:val="24"/>
          <w:lang w:val="de-CH"/>
        </w:rPr>
        <w:t xml:space="preserve">, </w:t>
      </w:r>
      <w:r w:rsidR="00450273">
        <w:rPr>
          <w:sz w:val="24"/>
          <w:szCs w:val="24"/>
          <w:lang w:val="de-CH"/>
        </w:rPr>
        <w:t xml:space="preserve">der </w:t>
      </w:r>
      <w:proofErr w:type="spellStart"/>
      <w:r w:rsidR="00450273">
        <w:rPr>
          <w:sz w:val="24"/>
          <w:szCs w:val="24"/>
          <w:lang w:val="de-CH"/>
        </w:rPr>
        <w:t>Pysiognomik</w:t>
      </w:r>
      <w:proofErr w:type="spellEnd"/>
      <w:r w:rsidRPr="00150EF8">
        <w:rPr>
          <w:sz w:val="24"/>
          <w:szCs w:val="24"/>
          <w:lang w:val="de-CH"/>
        </w:rPr>
        <w:t xml:space="preserve">, der </w:t>
      </w:r>
      <w:proofErr w:type="spellStart"/>
      <w:r w:rsidRPr="00150EF8">
        <w:rPr>
          <w:sz w:val="24"/>
          <w:szCs w:val="24"/>
          <w:lang w:val="de-CH"/>
        </w:rPr>
        <w:t>Harmonienlehre</w:t>
      </w:r>
      <w:proofErr w:type="spellEnd"/>
      <w:r w:rsidR="0094346A" w:rsidRPr="00150EF8">
        <w:rPr>
          <w:sz w:val="24"/>
          <w:szCs w:val="24"/>
          <w:lang w:val="de-CH"/>
        </w:rPr>
        <w:t>, der Musik</w:t>
      </w:r>
      <w:r w:rsidRPr="00150EF8">
        <w:rPr>
          <w:sz w:val="24"/>
          <w:szCs w:val="24"/>
          <w:lang w:val="de-CH"/>
        </w:rPr>
        <w:t xml:space="preserve"> und Gestaltphilosophie. </w:t>
      </w:r>
      <w:r w:rsidRPr="002E6ABE">
        <w:rPr>
          <w:sz w:val="24"/>
          <w:szCs w:val="24"/>
          <w:lang w:val="de-CH"/>
        </w:rPr>
        <w:t>Auch Geometrie, Arithmetik</w:t>
      </w:r>
      <w:r w:rsidR="00AC7D85">
        <w:rPr>
          <w:sz w:val="24"/>
          <w:szCs w:val="24"/>
          <w:lang w:val="de-CH"/>
        </w:rPr>
        <w:t>, Physik</w:t>
      </w:r>
      <w:r w:rsidRPr="002E6ABE">
        <w:rPr>
          <w:sz w:val="24"/>
          <w:szCs w:val="24"/>
          <w:lang w:val="de-CH"/>
        </w:rPr>
        <w:t>,</w:t>
      </w:r>
      <w:r w:rsidR="002E6ABE">
        <w:rPr>
          <w:sz w:val="24"/>
          <w:szCs w:val="24"/>
          <w:lang w:val="de-CH"/>
        </w:rPr>
        <w:t xml:space="preserve"> Astronomie und </w:t>
      </w:r>
      <w:proofErr w:type="spellStart"/>
      <w:r w:rsidR="002E6ABE" w:rsidRPr="002E6ABE">
        <w:rPr>
          <w:sz w:val="24"/>
          <w:szCs w:val="24"/>
          <w:lang w:val="de-CH"/>
        </w:rPr>
        <w:t>Kalendarik</w:t>
      </w:r>
      <w:proofErr w:type="spellEnd"/>
      <w:r w:rsidRPr="002E6ABE">
        <w:rPr>
          <w:sz w:val="24"/>
          <w:szCs w:val="24"/>
          <w:lang w:val="de-CH"/>
        </w:rPr>
        <w:t xml:space="preserve"> auf der einen und Mythologie, Kabbala</w:t>
      </w:r>
      <w:r w:rsidR="0094346A" w:rsidRPr="002E6ABE">
        <w:rPr>
          <w:sz w:val="24"/>
          <w:szCs w:val="24"/>
          <w:lang w:val="de-CH"/>
        </w:rPr>
        <w:t>, Kosmologie</w:t>
      </w:r>
      <w:r w:rsidRPr="002E6ABE">
        <w:rPr>
          <w:sz w:val="24"/>
          <w:szCs w:val="24"/>
          <w:lang w:val="de-CH"/>
        </w:rPr>
        <w:t xml:space="preserve"> und Symboldeutung auf der anderen Seite geben der </w:t>
      </w:r>
      <w:r w:rsidR="0085622C" w:rsidRPr="0072757F">
        <w:rPr>
          <w:b/>
          <w:sz w:val="24"/>
          <w:szCs w:val="24"/>
          <w:lang w:val="de-CH"/>
        </w:rPr>
        <w:t>V</w:t>
      </w:r>
      <w:r w:rsidRPr="0072757F">
        <w:rPr>
          <w:b/>
          <w:sz w:val="24"/>
          <w:szCs w:val="24"/>
          <w:lang w:val="de-CH"/>
        </w:rPr>
        <w:t>ier</w:t>
      </w:r>
      <w:r w:rsidRPr="002E6ABE">
        <w:rPr>
          <w:sz w:val="24"/>
          <w:szCs w:val="24"/>
          <w:lang w:val="de-CH"/>
        </w:rPr>
        <w:t xml:space="preserve"> einen unübersehbaren Vorrang. </w:t>
      </w:r>
      <w:r w:rsidR="0085622C" w:rsidRPr="0094346A">
        <w:rPr>
          <w:sz w:val="24"/>
          <w:szCs w:val="24"/>
          <w:lang w:val="de-CH"/>
        </w:rPr>
        <w:t xml:space="preserve">Schon </w:t>
      </w:r>
      <w:r w:rsidR="000E23EB">
        <w:rPr>
          <w:sz w:val="24"/>
          <w:szCs w:val="24"/>
          <w:lang w:val="de-CH"/>
        </w:rPr>
        <w:t xml:space="preserve">der Universalgelehrte </w:t>
      </w:r>
      <w:r w:rsidR="0085622C" w:rsidRPr="0094346A">
        <w:rPr>
          <w:sz w:val="24"/>
          <w:szCs w:val="24"/>
          <w:lang w:val="de-CH"/>
        </w:rPr>
        <w:t xml:space="preserve">Heinrich Cornelius von </w:t>
      </w:r>
      <w:proofErr w:type="spellStart"/>
      <w:r w:rsidR="0085622C" w:rsidRPr="0094346A">
        <w:rPr>
          <w:sz w:val="24"/>
          <w:szCs w:val="24"/>
          <w:lang w:val="de-CH"/>
        </w:rPr>
        <w:t>Nettesheim</w:t>
      </w:r>
      <w:proofErr w:type="spellEnd"/>
      <w:r w:rsidR="0085622C" w:rsidRPr="0094346A">
        <w:rPr>
          <w:sz w:val="24"/>
          <w:szCs w:val="24"/>
          <w:lang w:val="de-CH"/>
        </w:rPr>
        <w:t xml:space="preserve"> </w:t>
      </w:r>
      <w:r w:rsidR="000E23EB">
        <w:rPr>
          <w:sz w:val="24"/>
          <w:szCs w:val="24"/>
          <w:lang w:val="de-CH"/>
        </w:rPr>
        <w:t xml:space="preserve">(1486-1535) </w:t>
      </w:r>
      <w:r w:rsidR="0085622C" w:rsidRPr="0094346A">
        <w:rPr>
          <w:sz w:val="24"/>
          <w:szCs w:val="24"/>
          <w:lang w:val="de-CH"/>
        </w:rPr>
        <w:t xml:space="preserve">listet in seiner „Leiter der Zahl Vier“ 31 Kategorien von naturgesetzlichen, menschlichen, himmlischen, unterweltlichen und geistigen Bezügen mit je vierfachen </w:t>
      </w:r>
      <w:r w:rsidR="002E6ABE">
        <w:rPr>
          <w:sz w:val="24"/>
          <w:szCs w:val="24"/>
          <w:lang w:val="de-CH"/>
        </w:rPr>
        <w:t>Untero</w:t>
      </w:r>
      <w:r w:rsidR="0085622C" w:rsidRPr="0094346A">
        <w:rPr>
          <w:sz w:val="24"/>
          <w:szCs w:val="24"/>
          <w:lang w:val="de-CH"/>
        </w:rPr>
        <w:t>rdnungen auf</w:t>
      </w:r>
      <w:r w:rsidR="000E23EB">
        <w:rPr>
          <w:rStyle w:val="Funotenzeichen"/>
          <w:sz w:val="24"/>
          <w:szCs w:val="24"/>
          <w:lang w:val="de-CH"/>
        </w:rPr>
        <w:footnoteReference w:id="1"/>
      </w:r>
      <w:r w:rsidR="0094346A" w:rsidRPr="0094346A">
        <w:rPr>
          <w:sz w:val="24"/>
          <w:szCs w:val="24"/>
          <w:lang w:val="de-CH"/>
        </w:rPr>
        <w:t>. D</w:t>
      </w:r>
      <w:r w:rsidR="0094346A">
        <w:rPr>
          <w:sz w:val="24"/>
          <w:szCs w:val="24"/>
          <w:lang w:val="de-CH"/>
        </w:rPr>
        <w:t xml:space="preserve">ie Vier hat kulturübergreifend auf allen Kontinenten </w:t>
      </w:r>
      <w:r w:rsidR="002E6ABE">
        <w:rPr>
          <w:sz w:val="24"/>
          <w:szCs w:val="24"/>
          <w:lang w:val="de-CH"/>
        </w:rPr>
        <w:t>die verschiedensten</w:t>
      </w:r>
      <w:r w:rsidR="00AC7D85">
        <w:rPr>
          <w:sz w:val="24"/>
          <w:szCs w:val="24"/>
          <w:lang w:val="de-CH"/>
        </w:rPr>
        <w:t xml:space="preserve"> physiologischen,</w:t>
      </w:r>
      <w:r w:rsidR="002E6ABE">
        <w:rPr>
          <w:sz w:val="24"/>
          <w:szCs w:val="24"/>
          <w:lang w:val="de-CH"/>
        </w:rPr>
        <w:t xml:space="preserve"> </w:t>
      </w:r>
      <w:r w:rsidR="0094346A">
        <w:rPr>
          <w:sz w:val="24"/>
          <w:szCs w:val="24"/>
          <w:lang w:val="de-CH"/>
        </w:rPr>
        <w:t>magische</w:t>
      </w:r>
      <w:r w:rsidR="00AC7D85">
        <w:rPr>
          <w:sz w:val="24"/>
          <w:szCs w:val="24"/>
          <w:lang w:val="de-CH"/>
        </w:rPr>
        <w:t xml:space="preserve">n, moralischen </w:t>
      </w:r>
      <w:r w:rsidR="002E6ABE">
        <w:rPr>
          <w:sz w:val="24"/>
          <w:szCs w:val="24"/>
          <w:lang w:val="de-CH"/>
        </w:rPr>
        <w:t>Symbolgehalte. Ihre mathematische Symmetrie, ihr Assoziationsreichtum</w:t>
      </w:r>
      <w:r w:rsidR="00AC7D85">
        <w:rPr>
          <w:sz w:val="24"/>
          <w:szCs w:val="24"/>
          <w:lang w:val="de-CH"/>
        </w:rPr>
        <w:t xml:space="preserve"> trotz Einfachheit und Naturevidenz ist anderen Zahlen überlegen</w:t>
      </w:r>
      <w:r w:rsidR="00DE36CB">
        <w:rPr>
          <w:sz w:val="24"/>
          <w:szCs w:val="24"/>
          <w:lang w:val="de-CH"/>
        </w:rPr>
        <w:t xml:space="preserve"> und macht sie zur Kardinalchiffre</w:t>
      </w:r>
      <w:r w:rsidR="00150EF8">
        <w:rPr>
          <w:sz w:val="24"/>
          <w:szCs w:val="24"/>
          <w:lang w:val="de-CH"/>
        </w:rPr>
        <w:t xml:space="preserve"> der Religionen und Philosophien.</w:t>
      </w:r>
    </w:p>
    <w:p w:rsidR="005C0D01" w:rsidRDefault="005C0D01" w:rsidP="005C0D01">
      <w:pPr>
        <w:pStyle w:val="KeinLeerraum"/>
        <w:jc w:val="both"/>
        <w:rPr>
          <w:sz w:val="24"/>
          <w:szCs w:val="24"/>
          <w:lang w:val="de-CH"/>
        </w:rPr>
      </w:pPr>
    </w:p>
    <w:p w:rsidR="00150EF8" w:rsidRDefault="00150EF8" w:rsidP="005C0D01">
      <w:pPr>
        <w:pStyle w:val="KeinLeerraum"/>
        <w:jc w:val="both"/>
        <w:rPr>
          <w:sz w:val="24"/>
          <w:szCs w:val="24"/>
          <w:lang w:val="de-CH"/>
        </w:rPr>
      </w:pPr>
      <w:r>
        <w:rPr>
          <w:sz w:val="24"/>
          <w:szCs w:val="24"/>
          <w:lang w:val="de-CH"/>
        </w:rPr>
        <w:t xml:space="preserve">Das Aufkommen der Spekulationen um die </w:t>
      </w:r>
      <w:r w:rsidRPr="00150EF8">
        <w:rPr>
          <w:i/>
          <w:sz w:val="24"/>
          <w:szCs w:val="24"/>
          <w:lang w:val="de-CH"/>
        </w:rPr>
        <w:t>vierte Dimension</w:t>
      </w:r>
      <w:r>
        <w:rPr>
          <w:sz w:val="24"/>
          <w:szCs w:val="24"/>
          <w:lang w:val="de-CH"/>
        </w:rPr>
        <w:t xml:space="preserve"> seit dem Ende des 19.Jahrhunderts ist somit nicht eine Neuheit der theoretischen Forschung, sondern eher eine Fortsetzung und Krönung geistiger Exerzitien seit den Anfängen der Beschäftigung des Menschen mit seinem Sein und seiner Existenz.</w:t>
      </w:r>
    </w:p>
    <w:p w:rsidR="005C0D01" w:rsidRDefault="005C0D01" w:rsidP="0094346A">
      <w:pPr>
        <w:pStyle w:val="KeinLeerraum"/>
        <w:rPr>
          <w:sz w:val="24"/>
          <w:szCs w:val="24"/>
          <w:lang w:val="de-CH"/>
        </w:rPr>
      </w:pPr>
    </w:p>
    <w:p w:rsidR="00913D5D" w:rsidRPr="0094346A" w:rsidRDefault="00913D5D" w:rsidP="005C0D01">
      <w:pPr>
        <w:pStyle w:val="KeinLeerraum"/>
        <w:jc w:val="both"/>
        <w:rPr>
          <w:sz w:val="24"/>
          <w:szCs w:val="24"/>
          <w:lang w:val="de-CH"/>
        </w:rPr>
      </w:pPr>
      <w:r>
        <w:rPr>
          <w:sz w:val="24"/>
          <w:szCs w:val="24"/>
          <w:lang w:val="de-CH"/>
        </w:rPr>
        <w:t xml:space="preserve">Metzingers wohl mehr synthetisches denn analytisches Denken konnte aus den multiplen </w:t>
      </w:r>
      <w:proofErr w:type="spellStart"/>
      <w:r>
        <w:rPr>
          <w:sz w:val="24"/>
          <w:szCs w:val="24"/>
          <w:lang w:val="de-CH"/>
        </w:rPr>
        <w:t>Herkünften</w:t>
      </w:r>
      <w:proofErr w:type="spellEnd"/>
      <w:r>
        <w:rPr>
          <w:sz w:val="24"/>
          <w:szCs w:val="24"/>
          <w:lang w:val="de-CH"/>
        </w:rPr>
        <w:t xml:space="preserve"> seines Wissens schöpfen und seine </w:t>
      </w:r>
      <w:r w:rsidRPr="0072757F">
        <w:rPr>
          <w:b/>
          <w:sz w:val="24"/>
          <w:szCs w:val="24"/>
          <w:lang w:val="de-CH"/>
        </w:rPr>
        <w:t xml:space="preserve">Vier </w:t>
      </w:r>
      <w:r>
        <w:rPr>
          <w:sz w:val="24"/>
          <w:szCs w:val="24"/>
          <w:lang w:val="de-CH"/>
        </w:rPr>
        <w:t xml:space="preserve">aus </w:t>
      </w:r>
      <w:r w:rsidRPr="0072757F">
        <w:rPr>
          <w:i/>
          <w:sz w:val="24"/>
          <w:szCs w:val="24"/>
          <w:lang w:val="de-CH"/>
        </w:rPr>
        <w:t>mehreren Assoziations- Quellen</w:t>
      </w:r>
      <w:r>
        <w:rPr>
          <w:sz w:val="24"/>
          <w:szCs w:val="24"/>
          <w:lang w:val="de-CH"/>
        </w:rPr>
        <w:t xml:space="preserve"> kombinieren, ob</w:t>
      </w:r>
      <w:r w:rsidR="005C0D01">
        <w:rPr>
          <w:sz w:val="24"/>
          <w:szCs w:val="24"/>
          <w:lang w:val="de-CH"/>
        </w:rPr>
        <w:t xml:space="preserve"> nun</w:t>
      </w:r>
      <w:r>
        <w:rPr>
          <w:sz w:val="24"/>
          <w:szCs w:val="24"/>
          <w:lang w:val="de-CH"/>
        </w:rPr>
        <w:t xml:space="preserve"> bewusst oder instinktiv sei dahingestellt, weil für einen Künstler weniger relevant.</w:t>
      </w:r>
    </w:p>
    <w:p w:rsidR="0094346A" w:rsidRPr="0094346A" w:rsidRDefault="0094346A" w:rsidP="0094346A">
      <w:pPr>
        <w:pStyle w:val="KeinLeerraum"/>
        <w:rPr>
          <w:lang w:val="de-CH"/>
        </w:rPr>
      </w:pPr>
    </w:p>
    <w:sectPr w:rsidR="0094346A" w:rsidRPr="0094346A" w:rsidSect="00893B8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C1" w:rsidRDefault="000549C1" w:rsidP="000E23EB">
      <w:pPr>
        <w:spacing w:after="0" w:line="240" w:lineRule="auto"/>
      </w:pPr>
      <w:r>
        <w:separator/>
      </w:r>
    </w:p>
  </w:endnote>
  <w:endnote w:type="continuationSeparator" w:id="0">
    <w:p w:rsidR="000549C1" w:rsidRDefault="000549C1" w:rsidP="000E2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C1" w:rsidRDefault="000549C1" w:rsidP="000E23EB">
      <w:pPr>
        <w:spacing w:after="0" w:line="240" w:lineRule="auto"/>
      </w:pPr>
      <w:r>
        <w:separator/>
      </w:r>
    </w:p>
  </w:footnote>
  <w:footnote w:type="continuationSeparator" w:id="0">
    <w:p w:rsidR="000549C1" w:rsidRDefault="000549C1" w:rsidP="000E23EB">
      <w:pPr>
        <w:spacing w:after="0" w:line="240" w:lineRule="auto"/>
      </w:pPr>
      <w:r>
        <w:continuationSeparator/>
      </w:r>
    </w:p>
  </w:footnote>
  <w:footnote w:id="1">
    <w:p w:rsidR="000E23EB" w:rsidRPr="00450273" w:rsidRDefault="000E23EB">
      <w:pPr>
        <w:pStyle w:val="Funotentext"/>
        <w:rPr>
          <w:rFonts w:ascii="Arial" w:hAnsi="Arial" w:cs="Arial"/>
        </w:rPr>
      </w:pPr>
      <w:r w:rsidRPr="00450273">
        <w:rPr>
          <w:rStyle w:val="Funotenzeichen"/>
          <w:rFonts w:ascii="Arial" w:hAnsi="Arial" w:cs="Arial"/>
        </w:rPr>
        <w:footnoteRef/>
      </w:r>
      <w:r w:rsidR="00450273" w:rsidRPr="00450273">
        <w:rPr>
          <w:rFonts w:ascii="Arial" w:hAnsi="Arial" w:cs="Arial"/>
        </w:rPr>
        <w:t xml:space="preserve">Heinrich Cornelius von </w:t>
      </w:r>
      <w:proofErr w:type="spellStart"/>
      <w:r w:rsidR="00450273" w:rsidRPr="00450273">
        <w:rPr>
          <w:rFonts w:ascii="Arial" w:hAnsi="Arial" w:cs="Arial"/>
        </w:rPr>
        <w:t>Nettesheim</w:t>
      </w:r>
      <w:proofErr w:type="spellEnd"/>
      <w:r w:rsidR="00450273">
        <w:rPr>
          <w:rFonts w:ascii="Arial" w:hAnsi="Arial" w:cs="Arial"/>
        </w:rPr>
        <w:t>,</w:t>
      </w:r>
      <w:r w:rsidRPr="00450273">
        <w:rPr>
          <w:rFonts w:ascii="Arial" w:hAnsi="Arial" w:cs="Arial"/>
        </w:rPr>
        <w:t xml:space="preserve"> </w:t>
      </w:r>
      <w:r w:rsidR="009D3A2C" w:rsidRPr="00450273">
        <w:rPr>
          <w:rFonts w:ascii="Arial" w:hAnsi="Arial" w:cs="Arial"/>
          <w:i/>
        </w:rPr>
        <w:t xml:space="preserve">De </w:t>
      </w:r>
      <w:proofErr w:type="spellStart"/>
      <w:r w:rsidR="009D3A2C" w:rsidRPr="00450273">
        <w:rPr>
          <w:rFonts w:ascii="Arial" w:hAnsi="Arial" w:cs="Arial"/>
          <w:i/>
        </w:rPr>
        <w:t>occulta</w:t>
      </w:r>
      <w:proofErr w:type="spellEnd"/>
      <w:r w:rsidR="009D3A2C" w:rsidRPr="00450273">
        <w:rPr>
          <w:rFonts w:ascii="Arial" w:hAnsi="Arial" w:cs="Arial"/>
          <w:i/>
        </w:rPr>
        <w:t xml:space="preserve"> </w:t>
      </w:r>
      <w:proofErr w:type="spellStart"/>
      <w:r w:rsidR="009D3A2C" w:rsidRPr="00450273">
        <w:rPr>
          <w:rFonts w:ascii="Arial" w:hAnsi="Arial" w:cs="Arial"/>
          <w:i/>
        </w:rPr>
        <w:t>philosophia</w:t>
      </w:r>
      <w:proofErr w:type="spellEnd"/>
      <w:r w:rsidR="009D3A2C" w:rsidRPr="00450273">
        <w:rPr>
          <w:rFonts w:ascii="Arial" w:hAnsi="Arial" w:cs="Arial"/>
        </w:rPr>
        <w:t xml:space="preserve"> 1509</w:t>
      </w:r>
      <w:r w:rsidR="005C0D01" w:rsidRPr="00450273">
        <w:rPr>
          <w:rFonts w:ascii="Arial" w:hAnsi="Arial" w:cs="Arial"/>
        </w:rPr>
        <w:t xml:space="preserve"> 2.Buch, 7.Kapitel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footnotePr>
    <w:footnote w:id="-1"/>
    <w:footnote w:id="0"/>
  </w:footnotePr>
  <w:endnotePr>
    <w:endnote w:id="-1"/>
    <w:endnote w:id="0"/>
  </w:endnotePr>
  <w:compat/>
  <w:rsids>
    <w:rsidRoot w:val="00552F81"/>
    <w:rsid w:val="000549C1"/>
    <w:rsid w:val="000B695C"/>
    <w:rsid w:val="000E23EB"/>
    <w:rsid w:val="000F2498"/>
    <w:rsid w:val="00135FFF"/>
    <w:rsid w:val="00150EF8"/>
    <w:rsid w:val="00194FF5"/>
    <w:rsid w:val="00265202"/>
    <w:rsid w:val="002775B4"/>
    <w:rsid w:val="002E6ABE"/>
    <w:rsid w:val="00450273"/>
    <w:rsid w:val="00522861"/>
    <w:rsid w:val="00544BB8"/>
    <w:rsid w:val="00552F81"/>
    <w:rsid w:val="005C0D01"/>
    <w:rsid w:val="00624B58"/>
    <w:rsid w:val="00676416"/>
    <w:rsid w:val="006E1866"/>
    <w:rsid w:val="0072757F"/>
    <w:rsid w:val="008279A9"/>
    <w:rsid w:val="0085622C"/>
    <w:rsid w:val="00876C6F"/>
    <w:rsid w:val="00893B8A"/>
    <w:rsid w:val="00913D5D"/>
    <w:rsid w:val="00923669"/>
    <w:rsid w:val="0094346A"/>
    <w:rsid w:val="009D3A2C"/>
    <w:rsid w:val="00A12301"/>
    <w:rsid w:val="00A52D15"/>
    <w:rsid w:val="00A56E16"/>
    <w:rsid w:val="00AC7D85"/>
    <w:rsid w:val="00B614FC"/>
    <w:rsid w:val="00B8141F"/>
    <w:rsid w:val="00B91F75"/>
    <w:rsid w:val="00C7405A"/>
    <w:rsid w:val="00CB0CCE"/>
    <w:rsid w:val="00DE36CB"/>
    <w:rsid w:val="00E5517A"/>
    <w:rsid w:val="00EA1A28"/>
    <w:rsid w:val="00EB429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0E23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23EB"/>
    <w:rPr>
      <w:sz w:val="20"/>
      <w:szCs w:val="20"/>
      <w:lang w:val="de-CH"/>
    </w:rPr>
  </w:style>
  <w:style w:type="character" w:styleId="Funotenzeichen">
    <w:name w:val="footnote reference"/>
    <w:basedOn w:val="Absatz-Standardschriftart"/>
    <w:uiPriority w:val="99"/>
    <w:semiHidden/>
    <w:unhideWhenUsed/>
    <w:rsid w:val="000E23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C640887-3B76-4196-911A-82A02F9B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weddigen</dc:creator>
  <cp:lastModifiedBy>erasmus weddigen</cp:lastModifiedBy>
  <cp:revision>3</cp:revision>
  <dcterms:created xsi:type="dcterms:W3CDTF">2012-03-17T07:32:00Z</dcterms:created>
  <dcterms:modified xsi:type="dcterms:W3CDTF">2012-05-10T08:25:00Z</dcterms:modified>
</cp:coreProperties>
</file>